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eastAsia="Calibri" w:cs="Times New Roman"/>
          <w:b/>
          <w:b/>
        </w:rPr>
      </w:pPr>
      <w:r>
        <w:rPr/>
        <w:drawing>
          <wp:inline distT="0" distB="0" distL="0" distR="0">
            <wp:extent cx="1000125" cy="1038225"/>
            <wp:effectExtent l="0" t="0" r="0" b="0"/>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2"/>
                    <a:stretch>
                      <a:fillRect/>
                    </a:stretch>
                  </pic:blipFill>
                  <pic:spPr bwMode="auto">
                    <a:xfrm>
                      <a:off x="0" y="0"/>
                      <a:ext cx="1000125" cy="1038225"/>
                    </a:xfrm>
                    <a:prstGeom prst="rect">
                      <a:avLst/>
                    </a:prstGeom>
                    <a:noFill/>
                    <a:ln w="9525">
                      <a:noFill/>
                      <a:miter lim="800000"/>
                      <a:headEnd/>
                      <a:tailEnd/>
                    </a:ln>
                  </pic:spPr>
                </pic:pic>
              </a:graphicData>
            </a:graphic>
          </wp:inline>
        </w:drawing>
      </w:r>
    </w:p>
    <w:p>
      <w:pPr>
        <w:pStyle w:val="Normal"/>
        <w:suppressAutoHyphens w:val="true"/>
        <w:spacing w:lineRule="auto" w:line="240" w:before="0" w:after="0"/>
        <w:rPr/>
      </w:pPr>
      <w:r>
        <w:rPr>
          <w:rFonts w:eastAsia="Times New Roman" w:cs="Times New Roman" w:ascii="Times New Roman" w:hAnsi="Times New Roman"/>
          <w:sz w:val="24"/>
          <w:szCs w:val="24"/>
          <w:lang w:eastAsia="it-IT"/>
        </w:rPr>
        <w:t xml:space="preserve">                                               </w:t>
      </w:r>
      <w:r>
        <w:rPr>
          <w:rFonts w:eastAsia="Times New Roman" w:cs="Times New Roman" w:ascii="Times New Roman" w:hAnsi="Times New Roman"/>
          <w:sz w:val="36"/>
          <w:szCs w:val="36"/>
          <w:lang w:eastAsia="it-IT"/>
        </w:rPr>
        <w:t xml:space="preserve">      </w:t>
      </w:r>
      <w:r>
        <w:rPr>
          <w:rFonts w:eastAsia="Times New Roman" w:cs="Garamond" w:ascii="Times New Roman" w:hAnsi="Times New Roman"/>
          <w:b/>
          <w:sz w:val="36"/>
          <w:szCs w:val="36"/>
          <w:lang w:eastAsia="zh-CN"/>
        </w:rPr>
        <w:t>CITTA’ DI ALTAMURA</w:t>
      </w:r>
    </w:p>
    <w:p>
      <w:pPr>
        <w:pStyle w:val="Normal"/>
        <w:suppressAutoHyphens w:val="true"/>
        <w:spacing w:lineRule="auto" w:line="240" w:before="0" w:after="0"/>
        <w:rPr>
          <w:rFonts w:ascii="Calibri" w:hAnsi="Calibri" w:eastAsia="Times New Roman" w:cs="Garamond"/>
          <w:b/>
          <w:b/>
          <w:sz w:val="22"/>
          <w:szCs w:val="22"/>
          <w:lang w:eastAsia="zh-CN"/>
        </w:rPr>
      </w:pPr>
      <w:r>
        <w:rPr>
          <w:rFonts w:eastAsia="Times New Roman" w:cs="Garamond"/>
          <w:b/>
          <w:sz w:val="22"/>
          <w:szCs w:val="22"/>
          <w:lang w:eastAsia="zh-CN"/>
        </w:rPr>
      </w:r>
    </w:p>
    <w:p>
      <w:pPr>
        <w:pStyle w:val="Normal"/>
        <w:spacing w:lineRule="auto" w:line="240"/>
        <w:jc w:val="both"/>
        <w:rPr>
          <w:rFonts w:ascii="Calibri" w:hAnsi="Calibri" w:eastAsia="Calibri" w:cs="Times New Roman"/>
          <w:b/>
          <w:b/>
        </w:rPr>
      </w:pPr>
      <w:r>
        <w:rPr>
          <w:rFonts w:eastAsia="Calibri" w:cs="Times New Roman"/>
          <w:b/>
          <w:sz w:val="26"/>
          <w:szCs w:val="26"/>
        </w:rPr>
        <w:t>Oggetto: Dichiarazione resa dai componenti delle Commissioni di Concorso attestante l’assenza di condanne penali e di situazioni di conflitto di interesse</w:t>
      </w:r>
    </w:p>
    <w:p>
      <w:pPr>
        <w:pStyle w:val="Normal"/>
        <w:spacing w:lineRule="auto" w:line="240" w:before="0" w:after="0"/>
        <w:jc w:val="center"/>
        <w:rPr>
          <w:rFonts w:ascii="Calibri" w:hAnsi="Calibri" w:eastAsia="Calibri" w:cs="Times New Roman"/>
          <w:b/>
          <w:b/>
          <w:sz w:val="28"/>
          <w:szCs w:val="28"/>
        </w:rPr>
      </w:pPr>
      <w:r>
        <w:rPr>
          <w:rFonts w:eastAsia="Calibri" w:cs="Times New Roman"/>
          <w:b/>
          <w:sz w:val="22"/>
          <w:szCs w:val="22"/>
        </w:rPr>
        <w:t xml:space="preserve">DICHIARAZIONE SOSTITUTIVA DELL’ATTO DI NOTORIETA’ </w:t>
      </w:r>
    </w:p>
    <w:p>
      <w:pPr>
        <w:pStyle w:val="Normal"/>
        <w:spacing w:lineRule="auto" w:line="240" w:before="0" w:after="0"/>
        <w:jc w:val="center"/>
        <w:rPr>
          <w:rFonts w:ascii="Calibri" w:hAnsi="Calibri" w:eastAsia="Calibri" w:cs="Times New Roman"/>
          <w:b/>
          <w:b/>
          <w:sz w:val="28"/>
          <w:szCs w:val="28"/>
        </w:rPr>
      </w:pPr>
      <w:r>
        <w:rPr>
          <w:rFonts w:eastAsia="Calibri" w:cs="Times New Roman"/>
          <w:b/>
          <w:sz w:val="22"/>
          <w:szCs w:val="22"/>
        </w:rPr>
        <w:t xml:space="preserve">(art. 47 D.P.R. 28 dicembre 2000, n. 445) </w:t>
      </w:r>
    </w:p>
    <w:p>
      <w:pPr>
        <w:pStyle w:val="Normal"/>
        <w:spacing w:lineRule="auto" w:line="240"/>
        <w:jc w:val="both"/>
        <w:rPr>
          <w:rFonts w:ascii="Calibri" w:hAnsi="Calibri"/>
          <w:sz w:val="22"/>
          <w:szCs w:val="22"/>
        </w:rPr>
      </w:pPr>
      <w:r>
        <w:rPr>
          <w:rFonts w:eastAsia="Calibri" w:cs="Times New Roman"/>
          <w:sz w:val="22"/>
          <w:szCs w:val="22"/>
        </w:rPr>
        <w:t xml:space="preserve">Il/La Sottoscritto/a ………………………………………………………………………………………………………………………………………… nato/a a …………………………………………………………………………………… il …………………………………………………………… C.F.: ………………………………………………………………………………………………………………………………………………………………. </w:t>
      </w:r>
    </w:p>
    <w:p>
      <w:pPr>
        <w:pStyle w:val="Normal"/>
        <w:spacing w:lineRule="auto" w:line="240" w:before="0" w:after="120"/>
        <w:jc w:val="both"/>
        <w:rPr>
          <w:rFonts w:ascii="Calibri" w:hAnsi="Calibri"/>
          <w:sz w:val="22"/>
          <w:szCs w:val="22"/>
        </w:rPr>
      </w:pPr>
      <w:r>
        <w:rPr>
          <w:rFonts w:eastAsia="Calibri" w:cs="Times New Roman"/>
          <w:sz w:val="22"/>
          <w:szCs w:val="22"/>
        </w:rPr>
        <w:t>relativamente all’incarico di:</w:t>
      </w:r>
    </w:p>
    <w:p>
      <w:pPr>
        <w:pStyle w:val="Normal"/>
        <w:numPr>
          <w:ilvl w:val="0"/>
          <w:numId w:val="1"/>
        </w:numPr>
        <w:spacing w:lineRule="auto" w:line="240" w:before="0" w:after="200"/>
        <w:contextualSpacing/>
        <w:jc w:val="both"/>
        <w:rPr>
          <w:rFonts w:ascii="Calibri" w:hAnsi="Calibri"/>
          <w:sz w:val="22"/>
          <w:szCs w:val="22"/>
        </w:rPr>
      </w:pPr>
      <w:r>
        <w:rPr>
          <w:rFonts w:eastAsia="Calibri" w:cs="Times New Roman"/>
          <w:sz w:val="22"/>
          <w:szCs w:val="22"/>
        </w:rPr>
        <w:t>Presidente della Commissione</w:t>
      </w:r>
    </w:p>
    <w:p>
      <w:pPr>
        <w:pStyle w:val="Normal"/>
        <w:numPr>
          <w:ilvl w:val="0"/>
          <w:numId w:val="1"/>
        </w:numPr>
        <w:spacing w:lineRule="auto" w:line="240" w:before="0" w:after="200"/>
        <w:contextualSpacing/>
        <w:jc w:val="both"/>
        <w:rPr>
          <w:rFonts w:ascii="Calibri" w:hAnsi="Calibri"/>
          <w:sz w:val="22"/>
          <w:szCs w:val="22"/>
        </w:rPr>
      </w:pPr>
      <w:r>
        <w:rPr>
          <w:rFonts w:eastAsia="Calibri" w:cs="Times New Roman"/>
          <w:sz w:val="22"/>
          <w:szCs w:val="22"/>
        </w:rPr>
        <w:t>Componente della Commissione</w:t>
      </w:r>
    </w:p>
    <w:p>
      <w:pPr>
        <w:pStyle w:val="Normal"/>
        <w:numPr>
          <w:ilvl w:val="0"/>
          <w:numId w:val="1"/>
        </w:numPr>
        <w:spacing w:lineRule="auto" w:line="240" w:before="0" w:after="200"/>
        <w:contextualSpacing/>
        <w:jc w:val="both"/>
        <w:rPr>
          <w:rFonts w:ascii="Calibri" w:hAnsi="Calibri" w:eastAsia="Calibri" w:cs="Times New Roman"/>
        </w:rPr>
      </w:pPr>
      <w:r>
        <w:rPr>
          <w:rFonts w:eastAsia="Calibri" w:cs="Times New Roman"/>
          <w:sz w:val="22"/>
          <w:szCs w:val="22"/>
        </w:rPr>
        <w:t>Segretario della Commissione</w:t>
      </w:r>
    </w:p>
    <w:p>
      <w:pPr>
        <w:pStyle w:val="Normal"/>
        <w:spacing w:lineRule="auto" w:line="240"/>
        <w:jc w:val="both"/>
        <w:rPr>
          <w:rFonts w:ascii="Calibri" w:hAnsi="Calibri"/>
          <w:sz w:val="22"/>
          <w:szCs w:val="22"/>
        </w:rPr>
      </w:pPr>
      <w:r>
        <w:rPr>
          <w:rFonts w:eastAsia="Calibri" w:cs="Times New Roman"/>
          <w:sz w:val="22"/>
          <w:szCs w:val="22"/>
        </w:rPr>
        <w:t xml:space="preserve">ai fini della formalizzazione del relativo provvedimento di conferimento nell’ambito della procedura selettiva per l'assunzione </w:t>
      </w:r>
      <w:r>
        <w:rPr>
          <w:rFonts w:eastAsia="Calibri" w:cs="Times New Roman"/>
          <w:color w:val="000002"/>
          <w:sz w:val="22"/>
          <w:szCs w:val="22"/>
        </w:rPr>
        <w:t>di n. 1 Dirigente Tecnico a tempo determinato, ai sensi dell’art. 110, comma 1, d.lgs. 267/2000, Responsabile del VI Settore: “Realizzazione e Manutenzione Opere Pubbliche - Datore di Lavoro dei dipendenti"</w:t>
      </w:r>
    </w:p>
    <w:p>
      <w:pPr>
        <w:pStyle w:val="Normal"/>
        <w:spacing w:lineRule="auto" w:line="240"/>
        <w:jc w:val="both"/>
        <w:rPr>
          <w:rFonts w:ascii="Calibri" w:hAnsi="Calibri" w:eastAsia="Calibri" w:cs="Times New Roman"/>
        </w:rPr>
      </w:pPr>
      <w:r>
        <w:rPr>
          <w:rFonts w:eastAsia="Calibri" w:cs="Times New Roman"/>
          <w:sz w:val="22"/>
          <w:szCs w:val="22"/>
        </w:rPr>
        <w:t xml:space="preserve">consapevole delle sanzioni penali, nel caso di dichiarazioni non veritiere, di formazione o uso di atti falsi, richiamate dall’art. 76 del D.P.R. 28/12/2000 n. 445, </w:t>
      </w:r>
    </w:p>
    <w:p>
      <w:pPr>
        <w:pStyle w:val="Normal"/>
        <w:spacing w:lineRule="auto" w:line="240"/>
        <w:jc w:val="center"/>
        <w:rPr>
          <w:rFonts w:ascii="Calibri" w:hAnsi="Calibri" w:eastAsia="Calibri" w:cs="Times New Roman"/>
          <w:b/>
          <w:b/>
        </w:rPr>
      </w:pPr>
      <w:r>
        <w:rPr>
          <w:rFonts w:eastAsia="Calibri" w:cs="Times New Roman"/>
          <w:b/>
          <w:sz w:val="22"/>
          <w:szCs w:val="22"/>
        </w:rPr>
        <w:t>DICHIARA</w:t>
      </w:r>
    </w:p>
    <w:p>
      <w:pPr>
        <w:pStyle w:val="Normal"/>
        <w:numPr>
          <w:ilvl w:val="0"/>
          <w:numId w:val="2"/>
        </w:numPr>
        <w:spacing w:lineRule="auto" w:line="240" w:before="0" w:after="120"/>
        <w:ind w:left="714" w:hanging="357"/>
        <w:contextualSpacing/>
        <w:jc w:val="both"/>
        <w:rPr>
          <w:rFonts w:ascii="Calibri" w:hAnsi="Calibri" w:eastAsia="Calibri" w:cs="Times New Roman"/>
          <w:color w:val="000000"/>
        </w:rPr>
      </w:pPr>
      <w:r>
        <w:rPr>
          <w:rFonts w:eastAsia="Calibri" w:cs="Times New Roman"/>
          <w:color w:val="000000"/>
          <w:sz w:val="22"/>
          <w:szCs w:val="22"/>
        </w:rPr>
        <w:t>di non essere componente dell’organo di direzione politica dell’amministrazione, di non ricoprire cariche politiche, di non essere rappresentante sindacale o designato da confederazioni ed organizzazioni sindacali o da associazioni professionali (art. 35, comma 3, del D.lgs. 165/2001);</w:t>
      </w:r>
    </w:p>
    <w:p>
      <w:pPr>
        <w:pStyle w:val="Normal"/>
        <w:numPr>
          <w:ilvl w:val="0"/>
          <w:numId w:val="2"/>
        </w:numPr>
        <w:spacing w:lineRule="auto" w:line="240" w:before="0" w:after="240"/>
        <w:ind w:left="714" w:hanging="357"/>
        <w:contextualSpacing/>
        <w:jc w:val="both"/>
        <w:rPr>
          <w:rFonts w:ascii="Calibri" w:hAnsi="Calibri" w:eastAsia="Calibri" w:cs="Times New Roman"/>
          <w:color w:val="000000"/>
        </w:rPr>
      </w:pPr>
      <w:bookmarkStart w:id="0" w:name="_GoBack"/>
      <w:bookmarkEnd w:id="0"/>
      <w:r>
        <w:rPr>
          <w:rFonts w:eastAsia="Calibri" w:cs="Times New Roman"/>
          <w:sz w:val="22"/>
          <w:szCs w:val="22"/>
        </w:rPr>
        <w:t xml:space="preserve">di non essere stato condannato, anche con sentenza non passata in giudicato, per i reati contro la Pubblica Amministrazione previsti nel </w:t>
      </w:r>
      <w:r>
        <w:rPr>
          <w:rFonts w:eastAsia="Calibri" w:cs="Times New Roman"/>
          <w:color w:val="000000"/>
          <w:sz w:val="22"/>
          <w:szCs w:val="22"/>
        </w:rPr>
        <w:t>Titolo II, Capo I, del codice penale (art. 35bis del D.lgs. 165/2001).</w:t>
      </w:r>
    </w:p>
    <w:p>
      <w:pPr>
        <w:pStyle w:val="Normal"/>
        <w:spacing w:lineRule="auto" w:line="240" w:before="0" w:after="120"/>
        <w:ind w:left="714" w:hanging="357"/>
        <w:contextualSpacing/>
        <w:jc w:val="both"/>
        <w:rPr>
          <w:rFonts w:ascii="Calibri" w:hAnsi="Calibri" w:eastAsia="Calibri" w:cs="Times New Roman"/>
          <w:color w:val="000000"/>
          <w:sz w:val="22"/>
          <w:szCs w:val="22"/>
        </w:rPr>
      </w:pPr>
      <w:r>
        <w:rPr/>
      </w:r>
    </w:p>
    <w:p>
      <w:pPr>
        <w:pStyle w:val="Normal"/>
        <w:spacing w:lineRule="auto" w:line="240" w:before="0" w:after="0"/>
        <w:jc w:val="both"/>
        <w:rPr>
          <w:rFonts w:ascii="Calibri" w:hAnsi="Calibri" w:eastAsia="Calibri" w:cs="Times New Roman"/>
          <w:color w:val="000000"/>
          <w:sz w:val="20"/>
          <w:szCs w:val="20"/>
          <w:u w:val="single"/>
        </w:rPr>
      </w:pPr>
      <w:r>
        <w:rPr>
          <w:rFonts w:eastAsia="Calibri" w:cs="Times New Roman"/>
          <w:color w:val="000000"/>
          <w:sz w:val="22"/>
          <w:szCs w:val="22"/>
          <w:u w:val="single"/>
        </w:rPr>
        <w:t>Trattamento dati personali</w:t>
      </w:r>
    </w:p>
    <w:p>
      <w:pPr>
        <w:pStyle w:val="Normal"/>
        <w:spacing w:lineRule="auto" w:line="240" w:before="0" w:after="0"/>
        <w:jc w:val="both"/>
        <w:rPr>
          <w:rFonts w:ascii="Calibri" w:hAnsi="Calibri" w:eastAsia="Calibri" w:cs="Times New Roman"/>
          <w:color w:val="000000"/>
          <w:sz w:val="20"/>
          <w:szCs w:val="20"/>
        </w:rPr>
      </w:pPr>
      <w:r>
        <w:rPr>
          <w:rFonts w:eastAsia="Calibri" w:cs="Times New Roman"/>
          <w:color w:val="000000"/>
          <w:sz w:val="22"/>
          <w:szCs w:val="22"/>
        </w:rPr>
        <w:t>Il/La sottoscritto/a dichiara di essere stato/a informato/a, ai sensi dell’art. 13 del Decreto Legislativo 30 giugno 2003 n. 196,</w:t>
      </w:r>
      <w:r>
        <w:rPr>
          <w:rFonts w:eastAsia="Calibri" w:cs="Times New Roman"/>
          <w:color w:val="000000"/>
          <w:sz w:val="22"/>
          <w:szCs w:val="22"/>
        </w:rPr>
        <w:t>e del GDPR 25 maggio 2018</w:t>
      </w:r>
      <w:r>
        <w:rPr>
          <w:rFonts w:eastAsia="Calibri" w:cs="Times New Roman"/>
          <w:color w:val="000000"/>
          <w:sz w:val="22"/>
          <w:szCs w:val="22"/>
        </w:rPr>
        <w:t xml:space="preserve"> circa il trattamento dei dati personali raccolti, ed in particolare che tali dati saranno trattati, anche con strumenti informatici, esclusivamente per le finalità per le quali la presente dichiarazione viene resa.</w:t>
      </w:r>
    </w:p>
    <w:p>
      <w:pPr>
        <w:pStyle w:val="Normal"/>
        <w:spacing w:lineRule="auto" w:line="240" w:before="0" w:after="0"/>
        <w:jc w:val="both"/>
        <w:rPr>
          <w:rFonts w:ascii="Calibri" w:hAnsi="Calibri"/>
          <w:sz w:val="22"/>
          <w:szCs w:val="22"/>
        </w:rPr>
      </w:pPr>
      <w:r>
        <w:rPr>
          <w:rFonts w:eastAsia="Calibri" w:cs="Times New Roman"/>
          <w:color w:val="000000"/>
          <w:sz w:val="22"/>
          <w:szCs w:val="22"/>
        </w:rPr>
        <w:t>…………………………</w:t>
      </w:r>
      <w:r>
        <w:rPr>
          <w:rFonts w:eastAsia="Calibri" w:cs="Times New Roman"/>
          <w:color w:val="000000"/>
          <w:sz w:val="22"/>
          <w:szCs w:val="22"/>
        </w:rPr>
        <w:t>..., li ……………………………………</w:t>
        <w:tab/>
        <w:tab/>
        <w:tab/>
        <w:tab/>
        <w:tab/>
        <w:tab/>
      </w:r>
    </w:p>
    <w:p>
      <w:pPr>
        <w:pStyle w:val="Normal"/>
        <w:spacing w:lineRule="auto" w:line="240" w:before="0" w:after="0"/>
        <w:jc w:val="both"/>
        <w:rPr>
          <w:rFonts w:ascii="Calibri" w:hAnsi="Calibri"/>
          <w:sz w:val="22"/>
          <w:szCs w:val="22"/>
        </w:rPr>
      </w:pPr>
      <w:r>
        <w:rPr>
          <w:rFonts w:eastAsia="Calibri" w:cs="Times New Roman"/>
          <w:color w:val="000000"/>
          <w:sz w:val="22"/>
          <w:szCs w:val="22"/>
        </w:rPr>
        <w:tab/>
        <w:tab/>
        <w:tab/>
        <w:tab/>
        <w:tab/>
        <w:tab/>
        <w:tab/>
        <w:tab/>
        <w:tab/>
        <w:t>Il dichiarante</w:t>
      </w:r>
    </w:p>
    <w:p>
      <w:pPr>
        <w:pStyle w:val="Normal"/>
        <w:spacing w:lineRule="auto" w:line="240" w:before="240" w:after="240"/>
        <w:jc w:val="center"/>
        <w:rPr/>
      </w:pPr>
      <w:r>
        <w:rPr>
          <w:rFonts w:eastAsia="Calibri" w:cs="Times New Roman"/>
          <w:color w:val="000000"/>
          <w:sz w:val="22"/>
          <w:szCs w:val="22"/>
        </w:rPr>
        <w:t xml:space="preserve">                                                                                      ……………</w:t>
      </w:r>
      <w:r>
        <w:rPr>
          <w:rFonts w:eastAsia="Calibri" w:cs="Times New Roman"/>
          <w:color w:val="000000"/>
          <w:sz w:val="22"/>
          <w:szCs w:val="22"/>
        </w:rPr>
        <w:t>..………………………………………………</w:t>
      </w:r>
    </w:p>
    <w:p>
      <w:pPr>
        <w:pStyle w:val="Normal"/>
        <w:spacing w:lineRule="auto" w:line="240" w:before="240" w:after="240"/>
        <w:jc w:val="center"/>
        <w:rPr>
          <w:rFonts w:ascii="Calibri" w:hAnsi="Calibri" w:eastAsia="Calibri" w:cs="Times New Roman"/>
          <w:color w:val="000000"/>
          <w:sz w:val="22"/>
          <w:szCs w:val="22"/>
        </w:rPr>
      </w:pPr>
      <w:r>
        <w:rPr/>
      </w:r>
    </w:p>
    <w:p>
      <w:pPr>
        <w:pStyle w:val="Normal"/>
        <w:shd w:val="clear" w:color="auto" w:fill="F5FDFE"/>
        <w:spacing w:lineRule="auto" w:line="240" w:before="0" w:after="0"/>
        <w:jc w:val="both"/>
        <w:rPr>
          <w:rFonts w:ascii="Calibri" w:hAnsi="Calibri" w:eastAsia="Times New Roman" w:cs="Tahoma"/>
          <w:b/>
          <w:b/>
          <w:bCs/>
          <w:color w:val="000000"/>
          <w:sz w:val="21"/>
          <w:szCs w:val="21"/>
          <w:lang w:eastAsia="it-IT"/>
        </w:rPr>
      </w:pPr>
      <w:r>
        <w:rPr>
          <w:rFonts w:eastAsia="Times New Roman" w:cs="Tahoma"/>
          <w:b/>
          <w:bCs/>
          <w:color w:val="000000"/>
          <w:sz w:val="21"/>
          <w:szCs w:val="21"/>
          <w:lang w:eastAsia="it-IT"/>
        </w:rPr>
      </w:r>
    </w:p>
    <w:p>
      <w:pPr>
        <w:pStyle w:val="Normal"/>
        <w:shd w:val="clear" w:color="auto" w:fill="F5FDFE"/>
        <w:spacing w:lineRule="auto" w:line="240" w:before="0" w:after="0"/>
        <w:jc w:val="both"/>
        <w:rPr>
          <w:rFonts w:ascii="Calibri" w:hAnsi="Calibri" w:eastAsia="Times New Roman" w:cs="Tahoma"/>
          <w:b/>
          <w:b/>
          <w:bCs/>
          <w:color w:val="000000"/>
          <w:sz w:val="16"/>
          <w:szCs w:val="16"/>
          <w:lang w:eastAsia="it-IT"/>
        </w:rPr>
      </w:pPr>
      <w:r>
        <w:rPr>
          <w:rFonts w:eastAsia="Times New Roman" w:cs="Tahoma"/>
          <w:b/>
          <w:bCs/>
          <w:color w:val="000000"/>
          <w:sz w:val="21"/>
          <w:szCs w:val="21"/>
          <w:lang w:eastAsia="it-IT"/>
        </w:rPr>
        <w:t>Art. 35, comma 3, lett. e), D.Lgs. 165/2001. Reclutamento del personale</w:t>
      </w:r>
    </w:p>
    <w:p>
      <w:pPr>
        <w:pStyle w:val="Normal"/>
        <w:shd w:val="clear" w:color="auto" w:fill="F5FDFE"/>
        <w:spacing w:lineRule="auto" w:line="240" w:before="0" w:after="0"/>
        <w:jc w:val="both"/>
        <w:rPr>
          <w:rFonts w:ascii="Calibri" w:hAnsi="Calibri" w:eastAsia="Times New Roman" w:cs="Tahoma"/>
          <w:bCs/>
          <w:color w:val="000000"/>
          <w:sz w:val="16"/>
          <w:szCs w:val="16"/>
          <w:lang w:eastAsia="it-IT"/>
        </w:rPr>
      </w:pPr>
      <w:r>
        <w:rPr>
          <w:rFonts w:eastAsia="Times New Roman" w:cs="Tahoma"/>
          <w:bCs/>
          <w:color w:val="000000"/>
          <w:sz w:val="21"/>
          <w:szCs w:val="21"/>
          <w:lang w:eastAsia="it-IT"/>
        </w:rPr>
        <w:t>Le commissioni di concorso devono essere composte esclusivamente con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 confederazioni ed organizzazioni sindacali o dalle associazioni professionali.</w:t>
      </w:r>
    </w:p>
    <w:p>
      <w:pPr>
        <w:pStyle w:val="Normal"/>
        <w:shd w:val="clear" w:color="auto" w:fill="F5FDFE"/>
        <w:spacing w:lineRule="auto" w:line="240" w:before="0" w:after="0"/>
        <w:jc w:val="both"/>
        <w:rPr>
          <w:rFonts w:ascii="Calibri" w:hAnsi="Calibri" w:eastAsia="Times New Roman" w:cs="Tahoma"/>
          <w:b/>
          <w:b/>
          <w:bCs/>
          <w:color w:val="000000"/>
          <w:sz w:val="21"/>
          <w:szCs w:val="21"/>
          <w:lang w:eastAsia="it-IT"/>
        </w:rPr>
      </w:pPr>
      <w:r>
        <w:rPr>
          <w:rFonts w:eastAsia="Times New Roman" w:cs="Tahoma"/>
          <w:b/>
          <w:bCs/>
          <w:color w:val="000000"/>
          <w:sz w:val="21"/>
          <w:szCs w:val="21"/>
          <w:lang w:eastAsia="it-IT"/>
        </w:rPr>
      </w:r>
    </w:p>
    <w:p>
      <w:pPr>
        <w:pStyle w:val="Normal"/>
        <w:shd w:val="clear" w:color="auto" w:fill="F5FDFE"/>
        <w:spacing w:lineRule="auto" w:line="240" w:before="0" w:after="0"/>
        <w:jc w:val="both"/>
        <w:rPr>
          <w:rFonts w:ascii="Calibri" w:hAnsi="Calibri" w:eastAsia="Times New Roman" w:cs="Tahoma"/>
          <w:color w:val="000000"/>
          <w:sz w:val="16"/>
          <w:szCs w:val="16"/>
          <w:lang w:eastAsia="it-IT"/>
        </w:rPr>
      </w:pPr>
      <w:r>
        <w:rPr>
          <w:rFonts w:eastAsia="Times New Roman" w:cs="Tahoma"/>
          <w:b/>
          <w:bCs/>
          <w:color w:val="000000"/>
          <w:sz w:val="21"/>
          <w:szCs w:val="21"/>
          <w:lang w:eastAsia="it-IT"/>
        </w:rPr>
        <w:t>Art. </w:t>
      </w:r>
      <w:bookmarkStart w:id="1" w:name="35-bis"/>
      <w:r>
        <w:rPr>
          <w:rFonts w:eastAsia="Times New Roman" w:cs="Tahoma"/>
          <w:b/>
          <w:bCs/>
          <w:color w:val="000000"/>
          <w:sz w:val="21"/>
          <w:szCs w:val="21"/>
          <w:lang w:eastAsia="it-IT"/>
        </w:rPr>
        <w:t>35-bis</w:t>
      </w:r>
      <w:bookmarkEnd w:id="1"/>
      <w:r>
        <w:rPr>
          <w:rFonts w:eastAsia="Times New Roman" w:cs="Tahoma"/>
          <w:b/>
          <w:bCs/>
          <w:color w:val="000000"/>
          <w:sz w:val="21"/>
          <w:szCs w:val="21"/>
          <w:lang w:eastAsia="it-IT"/>
        </w:rPr>
        <w:t>, D.Lgs. 165/2001. Prevenzione del fenomeno della corruzione nella formazione di commissioni e nelle assegnazioni agli uffici</w:t>
        <w:br/>
      </w:r>
      <w:r>
        <w:rPr>
          <w:rFonts w:eastAsia="Times New Roman" w:cs="Tahoma"/>
          <w:color w:val="000000"/>
          <w:sz w:val="21"/>
          <w:szCs w:val="21"/>
          <w:lang w:eastAsia="it-IT"/>
        </w:rPr>
        <w:t>Coloro che sono stati condannati, anche con sentenza non passata in giudicato, per i reati previsti nel capo I del titolo II del libro secondo del codice penale:</w:t>
      </w:r>
    </w:p>
    <w:p>
      <w:pPr>
        <w:pStyle w:val="Normal"/>
        <w:shd w:val="clear" w:color="auto" w:fill="F5FDFE"/>
        <w:spacing w:lineRule="auto" w:line="240" w:before="0" w:after="0"/>
        <w:jc w:val="both"/>
        <w:rPr>
          <w:rFonts w:ascii="Calibri" w:hAnsi="Calibri" w:eastAsia="Times New Roman" w:cs="Tahoma"/>
          <w:color w:val="000000"/>
          <w:sz w:val="16"/>
          <w:szCs w:val="16"/>
          <w:lang w:eastAsia="it-IT"/>
        </w:rPr>
      </w:pPr>
      <w:r>
        <w:rPr>
          <w:rFonts w:eastAsia="Times New Roman" w:cs="Tahoma"/>
          <w:color w:val="000000"/>
          <w:sz w:val="21"/>
          <w:szCs w:val="21"/>
          <w:lang w:eastAsia="it-IT"/>
        </w:rPr>
        <w:t>a) non possono fare parte, anche con compiti di segreteria, di commissioni per l’accesso o la selezione a pubblici impieghi;</w:t>
        <w:br/>
        <w:t>b) 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pPr>
        <w:pStyle w:val="Normal"/>
        <w:shd w:val="clear" w:color="auto" w:fill="F5FDFE"/>
        <w:spacing w:lineRule="auto" w:line="240" w:before="0" w:after="0"/>
        <w:jc w:val="both"/>
        <w:rPr>
          <w:rFonts w:ascii="Calibri" w:hAnsi="Calibri" w:eastAsia="Times New Roman" w:cs="Tahoma"/>
          <w:color w:val="000000"/>
          <w:sz w:val="16"/>
          <w:szCs w:val="16"/>
          <w:lang w:eastAsia="it-IT"/>
        </w:rPr>
      </w:pPr>
      <w:r>
        <w:rPr>
          <w:rFonts w:eastAsia="Times New Roman" w:cs="Tahoma"/>
          <w:color w:val="000000"/>
          <w:sz w:val="21"/>
          <w:szCs w:val="21"/>
          <w:lang w:eastAsia="it-IT"/>
        </w:rPr>
        <w:t>c) non possono fare parte delle commissioni per la scelta del contraente per l’affidamento di lavori, forniture e servizi, per la concessione o l’erogazione di sovvenzioni, contributi, sussidi, ausili finanziari, nonché per l’attribuzione di vantaggi economici di qualunque genere.</w:t>
      </w:r>
    </w:p>
    <w:p>
      <w:pPr>
        <w:pStyle w:val="Normal"/>
        <w:shd w:val="clear" w:color="auto" w:fill="F5FDFE"/>
        <w:spacing w:lineRule="auto" w:line="240" w:before="0" w:after="0"/>
        <w:jc w:val="both"/>
        <w:rPr>
          <w:rFonts w:ascii="Calibri" w:hAnsi="Calibri" w:eastAsia="Times New Roman" w:cs="Tahoma"/>
          <w:color w:val="000000"/>
          <w:sz w:val="21"/>
          <w:szCs w:val="21"/>
          <w:lang w:eastAsia="it-IT"/>
        </w:rPr>
      </w:pPr>
      <w:r>
        <w:rPr>
          <w:rFonts w:eastAsia="Times New Roman" w:cs="Tahoma"/>
          <w:color w:val="000000"/>
          <w:sz w:val="21"/>
          <w:szCs w:val="21"/>
          <w:lang w:eastAsia="it-IT"/>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alibri" w:hAnsi="Calibri" w:eastAsia="Calibri" w:cs="Tahoma"/>
          <w:b/>
          <w:b/>
          <w:bCs/>
          <w:color w:val="000000"/>
          <w:sz w:val="16"/>
          <w:szCs w:val="16"/>
        </w:rPr>
      </w:pPr>
      <w:r>
        <w:rPr>
          <w:rFonts w:eastAsia="Calibri" w:cs="Tahoma"/>
          <w:b/>
          <w:bCs/>
          <w:color w:val="000000"/>
          <w:sz w:val="21"/>
          <w:szCs w:val="21"/>
        </w:rPr>
        <w:t>Art. 1, comma 41, Legge 190/2012. Conflitto di interessi</w:t>
      </w:r>
    </w:p>
    <w:p>
      <w:pPr>
        <w:pStyle w:val="Normal"/>
        <w:shd w:val="clear" w:color="auto" w:fill="F5FDFE"/>
        <w:spacing w:lineRule="auto" w:line="240" w:before="0" w:after="0"/>
        <w:jc w:val="both"/>
        <w:rPr>
          <w:rFonts w:ascii="Calibri" w:hAnsi="Calibri" w:eastAsia="Times New Roman" w:cs="Tahoma"/>
          <w:color w:val="000000"/>
          <w:sz w:val="16"/>
          <w:szCs w:val="16"/>
          <w:shd w:fill="F5FDFE" w:val="clear"/>
          <w:lang w:eastAsia="it-IT"/>
        </w:rPr>
      </w:pPr>
      <w:r>
        <w:rPr>
          <w:rFonts w:eastAsia="Times New Roman" w:cs="Tahoma"/>
          <w:color w:val="000000"/>
          <w:sz w:val="21"/>
          <w:szCs w:val="21"/>
          <w:shd w:fill="F5FDFE" w:val="clear"/>
          <w:lang w:eastAsia="it-IT"/>
        </w:rPr>
        <w:t>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pPr>
        <w:pStyle w:val="Normal"/>
        <w:shd w:val="clear" w:color="auto" w:fill="F5FDFE"/>
        <w:spacing w:lineRule="auto" w:line="240" w:before="0" w:after="0"/>
        <w:jc w:val="both"/>
        <w:rPr>
          <w:rFonts w:ascii="Calibri" w:hAnsi="Calibri" w:eastAsia="Times New Roman" w:cs="Tahoma"/>
          <w:color w:val="000000"/>
          <w:sz w:val="21"/>
          <w:szCs w:val="21"/>
          <w:lang w:eastAsia="it-IT"/>
        </w:rPr>
      </w:pPr>
      <w:r>
        <w:rPr>
          <w:rFonts w:eastAsia="Times New Roman" w:cs="Tahoma"/>
          <w:color w:val="000000"/>
          <w:sz w:val="21"/>
          <w:szCs w:val="21"/>
          <w:lang w:eastAsia="it-IT"/>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alibri" w:hAnsi="Calibri" w:eastAsia="Calibri" w:cs="Tahoma"/>
          <w:b/>
          <w:b/>
          <w:bCs/>
          <w:color w:val="000000"/>
          <w:sz w:val="16"/>
          <w:szCs w:val="16"/>
        </w:rPr>
      </w:pPr>
      <w:r>
        <w:rPr>
          <w:rFonts w:eastAsia="Calibri" w:cs="Tahoma"/>
          <w:b/>
          <w:bCs/>
          <w:color w:val="000000"/>
          <w:sz w:val="21"/>
          <w:szCs w:val="21"/>
        </w:rPr>
        <w:t>Art. 7, DPR 62/2013. Obbligo di astensione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alibri" w:hAnsi="Calibri" w:eastAsia="Times New Roman" w:cs="Courier New"/>
          <w:sz w:val="16"/>
          <w:szCs w:val="16"/>
          <w:lang w:eastAsia="it-IT"/>
        </w:rPr>
      </w:pPr>
      <w:r>
        <w:rPr>
          <w:rFonts w:eastAsia="Times New Roman" w:cs="Courier New"/>
          <w:sz w:val="21"/>
          <w:szCs w:val="21"/>
          <w:lang w:eastAsia="it-IT"/>
        </w:rPr>
        <w:t>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alibri" w:hAnsi="Calibri" w:eastAsia="Times New Roman" w:cs="Courier New"/>
          <w:sz w:val="16"/>
          <w:szCs w:val="16"/>
          <w:lang w:eastAsia="it-IT"/>
        </w:rPr>
      </w:pPr>
      <w:r>
        <w:rPr>
          <w:rFonts w:eastAsia="Times New Roman" w:cs="Courier New"/>
          <w:sz w:val="21"/>
          <w:szCs w:val="21"/>
          <w:lang w:eastAsia="it-IT"/>
        </w:rPr>
        <w:t>società o  stabilimenti  di  cui  sia  amministratore  o  gerente  o dirigente. Il dipendente  si  astiene  in  ogni  altro  caso  in  cui esistano gravi ragioni  di  convenienza.</w:t>
      </w:r>
    </w:p>
    <w:p>
      <w:pPr>
        <w:pStyle w:val="Normal"/>
        <w:spacing w:lineRule="auto" w:line="240" w:before="0" w:after="0"/>
        <w:jc w:val="both"/>
        <w:rPr>
          <w:rFonts w:ascii="Calibri" w:hAnsi="Calibri" w:eastAsia="Calibri" w:cs="Times New Roman"/>
          <w:color w:val="000000"/>
          <w:sz w:val="21"/>
          <w:szCs w:val="21"/>
        </w:rPr>
      </w:pPr>
      <w:r>
        <w:rPr>
          <w:rFonts w:eastAsia="Calibri" w:cs="Times New Roman"/>
          <w:color w:val="000000"/>
          <w:sz w:val="21"/>
          <w:szCs w:val="21"/>
        </w:rPr>
      </w:r>
    </w:p>
    <w:p>
      <w:pPr>
        <w:pStyle w:val="Normal"/>
        <w:spacing w:lineRule="auto" w:line="240" w:before="0" w:after="0"/>
        <w:jc w:val="both"/>
        <w:rPr>
          <w:rFonts w:ascii="Calibri" w:hAnsi="Calibri" w:eastAsia="Calibri" w:cs="Times New Roman"/>
          <w:color w:val="000000"/>
          <w:sz w:val="16"/>
          <w:szCs w:val="16"/>
        </w:rPr>
      </w:pPr>
      <w:r>
        <w:rPr>
          <w:rFonts w:eastAsia="Calibri" w:cs="Tahoma"/>
          <w:b/>
          <w:bCs/>
          <w:color w:val="000000"/>
          <w:sz w:val="21"/>
          <w:szCs w:val="21"/>
        </w:rPr>
        <w:t>Art. 51 c.p.c.. Astensione del giudice</w:t>
      </w:r>
    </w:p>
    <w:p>
      <w:pPr>
        <w:pStyle w:val="Normal"/>
        <w:spacing w:lineRule="auto" w:line="240" w:before="0" w:after="0"/>
        <w:jc w:val="both"/>
        <w:rPr>
          <w:rFonts w:ascii="Calibri" w:hAnsi="Calibri" w:eastAsia="Calibri" w:cs="Times New Roman"/>
          <w:bCs/>
          <w:color w:val="000000"/>
          <w:sz w:val="16"/>
          <w:szCs w:val="16"/>
        </w:rPr>
      </w:pPr>
      <w:r>
        <w:rPr>
          <w:rFonts w:eastAsia="Calibri" w:cs="Times New Roman"/>
          <w:bCs/>
          <w:color w:val="000000"/>
          <w:sz w:val="21"/>
          <w:szCs w:val="21"/>
        </w:rPr>
        <w:t xml:space="preserve">Il giudice ha l'obbligo di astenersi: </w:t>
      </w:r>
    </w:p>
    <w:p>
      <w:pPr>
        <w:pStyle w:val="Normal"/>
        <w:spacing w:lineRule="auto" w:line="240" w:before="0" w:after="0"/>
        <w:jc w:val="both"/>
        <w:rPr>
          <w:rFonts w:ascii="Calibri" w:hAnsi="Calibri" w:eastAsia="Calibri" w:cs="Times New Roman"/>
          <w:bCs/>
          <w:color w:val="000000"/>
          <w:sz w:val="16"/>
          <w:szCs w:val="16"/>
        </w:rPr>
      </w:pPr>
      <w:r>
        <w:rPr>
          <w:rFonts w:eastAsia="Calibri" w:cs="Times New Roman"/>
          <w:bCs/>
          <w:color w:val="000000"/>
          <w:sz w:val="21"/>
          <w:szCs w:val="21"/>
        </w:rPr>
        <w:t xml:space="preserve">1) se ha interesse nella causa o in altra vertente su identica questione di diritto; </w:t>
      </w:r>
    </w:p>
    <w:p>
      <w:pPr>
        <w:pStyle w:val="Normal"/>
        <w:spacing w:lineRule="auto" w:line="240" w:before="0" w:after="0"/>
        <w:jc w:val="both"/>
        <w:rPr>
          <w:rFonts w:ascii="Calibri" w:hAnsi="Calibri" w:eastAsia="Calibri" w:cs="Times New Roman"/>
          <w:bCs/>
          <w:color w:val="000000"/>
          <w:sz w:val="16"/>
          <w:szCs w:val="16"/>
        </w:rPr>
      </w:pPr>
      <w:r>
        <w:rPr>
          <w:rFonts w:eastAsia="Calibri" w:cs="Times New Roman"/>
          <w:bCs/>
          <w:color w:val="000000"/>
          <w:sz w:val="21"/>
          <w:szCs w:val="21"/>
        </w:rPr>
        <w:t xml:space="preserve">2) se egli stesso o la moglie è parente fino al quarto grado o legato da vincoli di affiliazione, o è convivente o commensale abituale di una delle parti o di alcuno dei difensori; </w:t>
      </w:r>
    </w:p>
    <w:p>
      <w:pPr>
        <w:pStyle w:val="Normal"/>
        <w:spacing w:lineRule="auto" w:line="240" w:before="0" w:after="0"/>
        <w:jc w:val="both"/>
        <w:rPr>
          <w:rFonts w:ascii="Calibri" w:hAnsi="Calibri" w:eastAsia="Calibri" w:cs="Times New Roman"/>
          <w:bCs/>
          <w:color w:val="000000"/>
          <w:sz w:val="16"/>
          <w:szCs w:val="16"/>
        </w:rPr>
      </w:pPr>
      <w:r>
        <w:rPr>
          <w:rFonts w:eastAsia="Calibri" w:cs="Times New Roman"/>
          <w:bCs/>
          <w:color w:val="000000"/>
          <w:sz w:val="21"/>
          <w:szCs w:val="21"/>
        </w:rPr>
        <w:t xml:space="preserve">3) se egli stesso o la moglie ha causa pendente o grave inimicizia o rapporti di credito o debito con una delle parti o alcuno dei suoi difensori; </w:t>
      </w:r>
    </w:p>
    <w:p>
      <w:pPr>
        <w:pStyle w:val="Normal"/>
        <w:spacing w:lineRule="auto" w:line="240" w:before="0" w:after="0"/>
        <w:jc w:val="both"/>
        <w:rPr>
          <w:rFonts w:ascii="Calibri" w:hAnsi="Calibri" w:eastAsia="Calibri" w:cs="Times New Roman"/>
          <w:bCs/>
          <w:color w:val="000000"/>
          <w:sz w:val="16"/>
          <w:szCs w:val="16"/>
        </w:rPr>
      </w:pPr>
      <w:r>
        <w:rPr>
          <w:rFonts w:eastAsia="Calibri" w:cs="Times New Roman"/>
          <w:bCs/>
          <w:color w:val="000000"/>
          <w:sz w:val="21"/>
          <w:szCs w:val="21"/>
        </w:rPr>
        <w:t xml:space="preserve">4) se ha dato consiglio o prestato patrocinio nella causa, o ha deposto in essa come testimone, oppure ne ha conosciuto come magistrato in altro grado del processo o come arbitro o vi ha prestato assistenza come consulente tecnico; </w:t>
      </w:r>
    </w:p>
    <w:p>
      <w:pPr>
        <w:pStyle w:val="Normal"/>
        <w:spacing w:lineRule="auto" w:line="240" w:before="0" w:after="0"/>
        <w:jc w:val="both"/>
        <w:rPr>
          <w:rFonts w:ascii="Calibri" w:hAnsi="Calibri" w:eastAsia="Calibri" w:cs="Times New Roman"/>
          <w:bCs/>
          <w:color w:val="000000"/>
          <w:sz w:val="16"/>
          <w:szCs w:val="16"/>
        </w:rPr>
      </w:pPr>
      <w:r>
        <w:rPr>
          <w:rFonts w:eastAsia="Calibri" w:cs="Times New Roman"/>
          <w:bCs/>
          <w:color w:val="000000"/>
          <w:sz w:val="21"/>
          <w:szCs w:val="21"/>
        </w:rPr>
        <w:t xml:space="preserve">5) se è tutore, curatore, amministratore di sostegno, procuratore, agente o datore di lavoro di una delle parti; se, inoltre, è amministratore o gerente di un ente, di un'associazione anche non riconosciuta, di un comitato, di una società o stabilimento che ha interesse nella causa. </w:t>
      </w:r>
    </w:p>
    <w:p>
      <w:pPr>
        <w:pStyle w:val="Normal"/>
        <w:spacing w:lineRule="auto" w:line="240" w:before="0" w:after="0"/>
        <w:jc w:val="both"/>
        <w:rPr>
          <w:rFonts w:ascii="Calibri" w:hAnsi="Calibri"/>
          <w:sz w:val="21"/>
          <w:szCs w:val="21"/>
        </w:rPr>
      </w:pPr>
      <w:r>
        <w:rPr>
          <w:rFonts w:eastAsia="Calibri" w:cs="Times New Roman"/>
          <w:bCs/>
          <w:color w:val="000000"/>
          <w:sz w:val="21"/>
          <w:szCs w:val="21"/>
        </w:rPr>
        <w:t>In ogni altro caso in cui esistono gravi ragioni di convenienza, il giudice può richiedere al capo dell'ufficio l'autorizzazione ad astenersi; quando l'astensione riguarda il capo dell'ufficio, l'autorizzazione è chiesta al capo dell'ufficio superiore.</w:t>
      </w:r>
    </w:p>
    <w:p>
      <w:pPr>
        <w:pStyle w:val="Normal"/>
        <w:spacing w:lineRule="auto" w:line="240" w:before="0" w:after="0"/>
        <w:jc w:val="both"/>
        <w:rPr>
          <w:rFonts w:ascii="Calibri" w:hAnsi="Calibri" w:eastAsia="Calibri" w:cs="Times New Roman"/>
          <w:bCs/>
          <w:color w:val="000000"/>
          <w:sz w:val="16"/>
          <w:szCs w:val="16"/>
        </w:rPr>
      </w:pPr>
      <w:r>
        <w:rPr>
          <w:rFonts w:eastAsia="Calibri" w:cs="Times New Roman"/>
          <w:bCs/>
          <w:color w:val="000000"/>
          <w:sz w:val="16"/>
          <w:szCs w:val="16"/>
        </w:rPr>
      </w:r>
    </w:p>
    <w:p>
      <w:pPr>
        <w:pStyle w:val="Normal"/>
        <w:spacing w:lineRule="auto" w:line="240" w:before="0" w:after="0"/>
        <w:jc w:val="both"/>
        <w:rPr/>
      </w:pPr>
      <w:r>
        <w:rPr>
          <w:rFonts w:eastAsia="Calibri" w:cs="Times New Roman"/>
          <w:bCs/>
          <w:i/>
          <w:color w:val="000000"/>
          <w:sz w:val="22"/>
          <w:szCs w:val="22"/>
        </w:rPr>
        <w:t>Si allega documento di riconoscimento</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sz w:val="22"/>
        <w:rFonts w:cs="Courier New"/>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22"/>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22"/>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f44aa6"/>
    <w:rPr>
      <w:rFonts w:ascii="Tahoma" w:hAnsi="Tahoma" w:cs="Tahoma"/>
      <w:sz w:val="16"/>
      <w:szCs w:val="16"/>
    </w:rPr>
  </w:style>
  <w:style w:type="character" w:styleId="ListLabel1">
    <w:name w:val="ListLabel 1"/>
    <w:qFormat/>
    <w:rPr>
      <w:rFonts w:ascii="Calibri" w:hAnsi="Calibri" w:cs="Courier New"/>
    </w:rPr>
  </w:style>
  <w:style w:type="character" w:styleId="ListLabel2">
    <w:name w:val="ListLabel 2"/>
    <w:qFormat/>
    <w:rPr>
      <w:rFonts w:ascii="Calibri" w:hAnsi="Calibri"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ascii="Calibri" w:hAnsi="Calibri" w:cs="Courier New"/>
      <w:sz w:val="22"/>
    </w:rPr>
  </w:style>
  <w:style w:type="character" w:styleId="ListLabel6">
    <w:name w:val="ListLabel 6"/>
    <w:qFormat/>
    <w:rPr>
      <w:rFonts w:cs="Wingdings"/>
    </w:rPr>
  </w:style>
  <w:style w:type="character" w:styleId="ListLabel7">
    <w:name w:val="ListLabel 7"/>
    <w:qFormat/>
    <w:rPr>
      <w:rFonts w:cs="Symbol"/>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BalloonText">
    <w:name w:val="Balloon Text"/>
    <w:basedOn w:val="Normal"/>
    <w:link w:val="TestofumettoCarattere"/>
    <w:uiPriority w:val="99"/>
    <w:semiHidden/>
    <w:unhideWhenUsed/>
    <w:qFormat/>
    <w:rsid w:val="00f44aa6"/>
    <w:pPr>
      <w:spacing w:lineRule="auto" w:line="240" w:before="0" w:after="0"/>
    </w:pPr>
    <w:rPr>
      <w:rFonts w:ascii="Tahoma" w:hAnsi="Tahoma" w:cs="Tahoma"/>
      <w:sz w:val="16"/>
      <w:szCs w:val="16"/>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LibreOffice/4.4.5.2$Windows_x86 LibreOffice_project/a22f674fd25a3b6f45bdebf25400ed2adff0ff99</Application>
  <Paragraphs>39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2018-04-19T07:26:00Z</dcterms:created>
  <dc:creator>Maria Tritto</dc:creator>
  <dc:language>it-IT</dc:language>
  <dcterms:modified xsi:type="dcterms:W3CDTF">2019-02-21T10:20:14Z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